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C7F42" w14:textId="4A647BFE" w:rsidR="00F55397" w:rsidRPr="00682312" w:rsidRDefault="00376792" w:rsidP="0000716D">
      <w:pPr>
        <w:jc w:val="center"/>
        <w:rPr>
          <w:rFonts w:ascii="Arial" w:hAnsi="Arial" w:cs="Arial"/>
          <w:b/>
          <w:bCs/>
          <w:sz w:val="32"/>
          <w:szCs w:val="32"/>
        </w:rPr>
      </w:pPr>
      <w:r w:rsidRPr="00682312">
        <w:rPr>
          <w:rFonts w:ascii="Arial" w:hAnsi="Arial" w:cs="Arial"/>
          <w:b/>
          <w:bCs/>
          <w:sz w:val="32"/>
          <w:szCs w:val="32"/>
        </w:rPr>
        <w:t xml:space="preserve">Recommendations for </w:t>
      </w:r>
      <w:r w:rsidR="0000716D" w:rsidRPr="00682312">
        <w:rPr>
          <w:rFonts w:ascii="Arial" w:hAnsi="Arial" w:cs="Arial"/>
          <w:b/>
          <w:bCs/>
          <w:sz w:val="32"/>
          <w:szCs w:val="32"/>
        </w:rPr>
        <w:t>Treatment of Acute</w:t>
      </w:r>
      <w:r w:rsidRPr="00682312">
        <w:rPr>
          <w:rFonts w:ascii="Arial" w:hAnsi="Arial" w:cs="Arial"/>
          <w:b/>
          <w:bCs/>
          <w:sz w:val="32"/>
          <w:szCs w:val="32"/>
        </w:rPr>
        <w:t xml:space="preserve"> COVID-19 </w:t>
      </w:r>
      <w:r w:rsidR="00682312">
        <w:rPr>
          <w:rFonts w:ascii="Arial" w:hAnsi="Arial" w:cs="Arial"/>
          <w:b/>
          <w:bCs/>
          <w:sz w:val="32"/>
          <w:szCs w:val="32"/>
        </w:rPr>
        <w:t xml:space="preserve">in </w:t>
      </w:r>
      <w:r w:rsidRPr="00682312">
        <w:rPr>
          <w:rFonts w:ascii="Arial" w:hAnsi="Arial" w:cs="Arial"/>
          <w:b/>
          <w:bCs/>
          <w:sz w:val="32"/>
          <w:szCs w:val="32"/>
        </w:rPr>
        <w:t>Pediatric Patients</w:t>
      </w:r>
    </w:p>
    <w:p w14:paraId="20777BD2" w14:textId="4B1A4058" w:rsidR="00376792" w:rsidRPr="005D2692" w:rsidRDefault="00376792">
      <w:pPr>
        <w:rPr>
          <w:rFonts w:ascii="Arial" w:hAnsi="Arial" w:cs="Arial"/>
          <w:sz w:val="24"/>
          <w:szCs w:val="24"/>
        </w:rPr>
      </w:pPr>
    </w:p>
    <w:p w14:paraId="49234397" w14:textId="4D55AF5E" w:rsidR="0000716D" w:rsidRPr="005D2692" w:rsidRDefault="0000716D">
      <w:pPr>
        <w:rPr>
          <w:rFonts w:ascii="Arial" w:hAnsi="Arial" w:cs="Arial"/>
          <w:b/>
          <w:bCs/>
          <w:sz w:val="24"/>
          <w:szCs w:val="24"/>
          <w:u w:val="single"/>
        </w:rPr>
      </w:pPr>
      <w:proofErr w:type="spellStart"/>
      <w:r w:rsidRPr="005D2692">
        <w:rPr>
          <w:rFonts w:ascii="Arial" w:hAnsi="Arial" w:cs="Arial"/>
          <w:b/>
          <w:bCs/>
          <w:sz w:val="24"/>
          <w:szCs w:val="24"/>
          <w:u w:val="single"/>
        </w:rPr>
        <w:t>Remdesivir</w:t>
      </w:r>
      <w:proofErr w:type="spellEnd"/>
    </w:p>
    <w:p w14:paraId="2BFB4477" w14:textId="77777777" w:rsidR="0000716D" w:rsidRPr="005D2692" w:rsidRDefault="0000716D">
      <w:pPr>
        <w:rPr>
          <w:rFonts w:ascii="Arial" w:hAnsi="Arial" w:cs="Arial"/>
          <w:i/>
          <w:iCs/>
          <w:sz w:val="24"/>
          <w:szCs w:val="24"/>
          <w:u w:val="single"/>
        </w:rPr>
      </w:pPr>
      <w:r w:rsidRPr="005D2692">
        <w:rPr>
          <w:rFonts w:ascii="Arial" w:hAnsi="Arial" w:cs="Arial"/>
          <w:i/>
          <w:iCs/>
          <w:sz w:val="24"/>
          <w:szCs w:val="24"/>
          <w:u w:val="single"/>
        </w:rPr>
        <w:t>Indications</w:t>
      </w:r>
    </w:p>
    <w:p w14:paraId="75F58658" w14:textId="2BADCDE8" w:rsidR="00376792" w:rsidRPr="005D2692" w:rsidRDefault="005D2692">
      <w:pPr>
        <w:rPr>
          <w:rFonts w:ascii="Arial" w:hAnsi="Arial" w:cs="Arial"/>
          <w:sz w:val="24"/>
          <w:szCs w:val="24"/>
        </w:rPr>
      </w:pPr>
      <w:r>
        <w:rPr>
          <w:rFonts w:ascii="Arial" w:hAnsi="Arial" w:cs="Arial"/>
          <w:sz w:val="24"/>
          <w:szCs w:val="24"/>
        </w:rPr>
        <w:t>H</w:t>
      </w:r>
      <w:r w:rsidR="00376792" w:rsidRPr="005D2692">
        <w:rPr>
          <w:rFonts w:ascii="Arial" w:hAnsi="Arial" w:cs="Arial"/>
          <w:sz w:val="24"/>
          <w:szCs w:val="24"/>
        </w:rPr>
        <w:t>ospitalized patients</w:t>
      </w:r>
      <w:r w:rsidRPr="005D2692">
        <w:rPr>
          <w:rFonts w:ascii="Arial" w:hAnsi="Arial" w:cs="Arial"/>
          <w:sz w:val="24"/>
          <w:szCs w:val="24"/>
        </w:rPr>
        <w:t xml:space="preserve"> with acute COVID-1</w:t>
      </w:r>
      <w:r>
        <w:rPr>
          <w:rFonts w:ascii="Arial" w:hAnsi="Arial" w:cs="Arial"/>
          <w:sz w:val="24"/>
          <w:szCs w:val="24"/>
        </w:rPr>
        <w:t xml:space="preserve">9 who </w:t>
      </w:r>
      <w:r w:rsidR="00376792" w:rsidRPr="005D2692">
        <w:rPr>
          <w:rFonts w:ascii="Arial" w:hAnsi="Arial" w:cs="Arial"/>
          <w:sz w:val="24"/>
          <w:szCs w:val="24"/>
        </w:rPr>
        <w:t xml:space="preserve">meet all the following criteria: </w:t>
      </w:r>
    </w:p>
    <w:p w14:paraId="3387A301" w14:textId="77777777" w:rsidR="00376792" w:rsidRPr="005D2692" w:rsidRDefault="00376792" w:rsidP="0000716D">
      <w:pPr>
        <w:ind w:left="450" w:firstLine="450"/>
        <w:rPr>
          <w:rFonts w:ascii="Arial" w:hAnsi="Arial" w:cs="Arial"/>
          <w:sz w:val="24"/>
          <w:szCs w:val="24"/>
        </w:rPr>
      </w:pPr>
      <w:r w:rsidRPr="005D2692">
        <w:rPr>
          <w:rFonts w:ascii="Arial" w:hAnsi="Arial" w:cs="Arial"/>
          <w:sz w:val="24"/>
          <w:szCs w:val="24"/>
        </w:rPr>
        <w:t xml:space="preserve">▪ Hospitalized with confirmed positive SARS-CoV-2 PCR </w:t>
      </w:r>
    </w:p>
    <w:p w14:paraId="1102CA51" w14:textId="7AF0086F" w:rsidR="00376792" w:rsidRPr="005D2692" w:rsidRDefault="00376792" w:rsidP="0000716D">
      <w:pPr>
        <w:ind w:left="450" w:firstLine="450"/>
        <w:rPr>
          <w:rFonts w:ascii="Arial" w:hAnsi="Arial" w:cs="Arial"/>
          <w:sz w:val="24"/>
          <w:szCs w:val="24"/>
        </w:rPr>
      </w:pPr>
      <w:r w:rsidRPr="005D2692">
        <w:rPr>
          <w:rFonts w:ascii="Arial" w:hAnsi="Arial" w:cs="Arial"/>
          <w:sz w:val="24"/>
          <w:szCs w:val="24"/>
        </w:rPr>
        <w:t xml:space="preserve">▪ Requires supplemental oxygen </w:t>
      </w:r>
    </w:p>
    <w:p w14:paraId="468D6216" w14:textId="77777777" w:rsidR="00376792" w:rsidRPr="005D2692" w:rsidRDefault="00376792" w:rsidP="0000716D">
      <w:pPr>
        <w:ind w:left="450" w:firstLine="450"/>
        <w:rPr>
          <w:rFonts w:ascii="Arial" w:hAnsi="Arial" w:cs="Arial"/>
          <w:sz w:val="24"/>
          <w:szCs w:val="24"/>
        </w:rPr>
      </w:pPr>
      <w:r w:rsidRPr="005D2692">
        <w:rPr>
          <w:rFonts w:ascii="Arial" w:hAnsi="Arial" w:cs="Arial"/>
          <w:sz w:val="24"/>
          <w:szCs w:val="24"/>
        </w:rPr>
        <w:t xml:space="preserve">▪ ≤14 days since onset of symptoms </w:t>
      </w:r>
    </w:p>
    <w:p w14:paraId="38F2AAEA" w14:textId="4707E655" w:rsidR="00376792" w:rsidRPr="005D2692" w:rsidRDefault="005D2692">
      <w:pPr>
        <w:rPr>
          <w:rFonts w:ascii="Arial" w:hAnsi="Arial" w:cs="Arial"/>
          <w:sz w:val="24"/>
          <w:szCs w:val="24"/>
        </w:rPr>
      </w:pPr>
      <w:r w:rsidRPr="005D2692">
        <w:rPr>
          <w:rFonts w:ascii="Arial" w:hAnsi="Arial" w:cs="Arial"/>
          <w:sz w:val="24"/>
          <w:szCs w:val="24"/>
        </w:rPr>
        <w:t>Patients should not have any of the</w:t>
      </w:r>
      <w:r w:rsidR="00376792" w:rsidRPr="005D2692">
        <w:rPr>
          <w:rFonts w:ascii="Arial" w:hAnsi="Arial" w:cs="Arial"/>
          <w:sz w:val="24"/>
          <w:szCs w:val="24"/>
        </w:rPr>
        <w:t xml:space="preserve"> following contraindications to </w:t>
      </w:r>
      <w:proofErr w:type="spellStart"/>
      <w:r w:rsidR="00376792" w:rsidRPr="005D2692">
        <w:rPr>
          <w:rFonts w:ascii="Arial" w:hAnsi="Arial" w:cs="Arial"/>
          <w:sz w:val="24"/>
          <w:szCs w:val="24"/>
        </w:rPr>
        <w:t>remdesivir</w:t>
      </w:r>
      <w:proofErr w:type="spellEnd"/>
      <w:r w:rsidR="00376792" w:rsidRPr="005D2692">
        <w:rPr>
          <w:rFonts w:ascii="Arial" w:hAnsi="Arial" w:cs="Arial"/>
          <w:sz w:val="24"/>
          <w:szCs w:val="24"/>
        </w:rPr>
        <w:t xml:space="preserve">: </w:t>
      </w:r>
    </w:p>
    <w:p w14:paraId="4C6C11BA" w14:textId="77777777" w:rsidR="00376792" w:rsidRPr="005D2692" w:rsidRDefault="00376792" w:rsidP="0000716D">
      <w:pPr>
        <w:ind w:firstLine="900"/>
        <w:rPr>
          <w:rFonts w:ascii="Arial" w:hAnsi="Arial" w:cs="Arial"/>
          <w:sz w:val="24"/>
          <w:szCs w:val="24"/>
        </w:rPr>
      </w:pPr>
      <w:r w:rsidRPr="005D2692">
        <w:rPr>
          <w:rFonts w:ascii="Arial" w:hAnsi="Arial" w:cs="Arial"/>
          <w:sz w:val="24"/>
          <w:szCs w:val="24"/>
        </w:rPr>
        <w:t xml:space="preserve">• Known hypersensitivity to </w:t>
      </w:r>
      <w:proofErr w:type="spellStart"/>
      <w:r w:rsidRPr="005D2692">
        <w:rPr>
          <w:rFonts w:ascii="Arial" w:hAnsi="Arial" w:cs="Arial"/>
          <w:sz w:val="24"/>
          <w:szCs w:val="24"/>
        </w:rPr>
        <w:t>remdesivir</w:t>
      </w:r>
      <w:proofErr w:type="spellEnd"/>
      <w:r w:rsidRPr="005D2692">
        <w:rPr>
          <w:rFonts w:ascii="Arial" w:hAnsi="Arial" w:cs="Arial"/>
          <w:sz w:val="24"/>
          <w:szCs w:val="24"/>
        </w:rPr>
        <w:t xml:space="preserve"> </w:t>
      </w:r>
    </w:p>
    <w:p w14:paraId="7EBE050D" w14:textId="77777777" w:rsidR="00376792" w:rsidRPr="005D2692" w:rsidRDefault="00376792" w:rsidP="0000716D">
      <w:pPr>
        <w:ind w:firstLine="900"/>
        <w:rPr>
          <w:rFonts w:ascii="Arial" w:hAnsi="Arial" w:cs="Arial"/>
          <w:sz w:val="24"/>
          <w:szCs w:val="24"/>
        </w:rPr>
      </w:pPr>
      <w:r w:rsidRPr="005D2692">
        <w:rPr>
          <w:rFonts w:ascii="Arial" w:hAnsi="Arial" w:cs="Arial"/>
          <w:sz w:val="24"/>
          <w:szCs w:val="24"/>
        </w:rPr>
        <w:t xml:space="preserve">• ALT &gt; 10 times the upper limit of normal </w:t>
      </w:r>
    </w:p>
    <w:p w14:paraId="288CF46A" w14:textId="47A452C7" w:rsidR="00376792" w:rsidRPr="005D2692" w:rsidRDefault="00376792" w:rsidP="005D2692">
      <w:pPr>
        <w:ind w:left="990" w:hanging="90"/>
        <w:rPr>
          <w:rFonts w:ascii="Arial" w:hAnsi="Arial" w:cs="Arial"/>
          <w:sz w:val="24"/>
          <w:szCs w:val="24"/>
        </w:rPr>
      </w:pPr>
      <w:r w:rsidRPr="005D2692">
        <w:rPr>
          <w:rFonts w:ascii="Arial" w:hAnsi="Arial" w:cs="Arial"/>
          <w:sz w:val="24"/>
          <w:szCs w:val="24"/>
        </w:rPr>
        <w:t xml:space="preserve">• Note: After review of the available data and consultation with nephrology, we will now allow use of </w:t>
      </w:r>
      <w:proofErr w:type="spellStart"/>
      <w:r w:rsidRPr="005D2692">
        <w:rPr>
          <w:rFonts w:ascii="Arial" w:hAnsi="Arial" w:cs="Arial"/>
          <w:sz w:val="24"/>
          <w:szCs w:val="24"/>
        </w:rPr>
        <w:t>remdesivir</w:t>
      </w:r>
      <w:proofErr w:type="spellEnd"/>
      <w:r w:rsidRPr="005D2692">
        <w:rPr>
          <w:rFonts w:ascii="Arial" w:hAnsi="Arial" w:cs="Arial"/>
          <w:sz w:val="24"/>
          <w:szCs w:val="24"/>
        </w:rPr>
        <w:t xml:space="preserve"> in patients with eGFR &lt;30 ml/min (both AKI and advanced CKD) at the discretion of the treating clinicians</w:t>
      </w:r>
    </w:p>
    <w:p w14:paraId="02336FF4" w14:textId="2F3A251A" w:rsidR="0000716D" w:rsidRPr="005D2692" w:rsidRDefault="00376792">
      <w:pPr>
        <w:rPr>
          <w:rFonts w:ascii="Arial" w:hAnsi="Arial" w:cs="Arial"/>
          <w:sz w:val="24"/>
          <w:szCs w:val="24"/>
        </w:rPr>
      </w:pPr>
      <w:r w:rsidRPr="005D2692">
        <w:rPr>
          <w:rFonts w:ascii="Arial" w:hAnsi="Arial" w:cs="Arial"/>
          <w:sz w:val="24"/>
          <w:szCs w:val="24"/>
        </w:rPr>
        <w:t xml:space="preserve">NOTE: Clinicians may consider </w:t>
      </w:r>
      <w:proofErr w:type="spellStart"/>
      <w:r w:rsidRPr="005D2692">
        <w:rPr>
          <w:rFonts w:ascii="Arial" w:hAnsi="Arial" w:cs="Arial"/>
          <w:sz w:val="24"/>
          <w:szCs w:val="24"/>
        </w:rPr>
        <w:t>remdesivir</w:t>
      </w:r>
      <w:proofErr w:type="spellEnd"/>
      <w:r w:rsidRPr="005D2692">
        <w:rPr>
          <w:rFonts w:ascii="Arial" w:hAnsi="Arial" w:cs="Arial"/>
          <w:sz w:val="24"/>
          <w:szCs w:val="24"/>
        </w:rPr>
        <w:t xml:space="preserve"> for a hospitalized patient with COVID-19 who is not requiring supplemental O2 but is at particularly high risk for clinical deterioration. These patients and their management should be discussed with ID and/or Pulmonary/CCM consultants.</w:t>
      </w:r>
    </w:p>
    <w:p w14:paraId="64AE1AC7" w14:textId="77777777" w:rsidR="005D2692" w:rsidRPr="005D2692" w:rsidRDefault="005D2692">
      <w:pPr>
        <w:rPr>
          <w:rFonts w:ascii="Arial" w:hAnsi="Arial" w:cs="Arial"/>
          <w:sz w:val="24"/>
          <w:szCs w:val="24"/>
        </w:rPr>
      </w:pPr>
    </w:p>
    <w:p w14:paraId="3400F570" w14:textId="550B57F5" w:rsidR="0000716D" w:rsidRPr="005D2692" w:rsidRDefault="0000716D" w:rsidP="0000716D">
      <w:pPr>
        <w:rPr>
          <w:rFonts w:ascii="Arial" w:hAnsi="Arial" w:cs="Arial"/>
          <w:i/>
          <w:iCs/>
          <w:sz w:val="24"/>
          <w:szCs w:val="24"/>
          <w:u w:val="single"/>
        </w:rPr>
      </w:pPr>
      <w:r w:rsidRPr="005D2692">
        <w:rPr>
          <w:rFonts w:ascii="Arial" w:hAnsi="Arial" w:cs="Arial"/>
          <w:i/>
          <w:iCs/>
          <w:sz w:val="24"/>
          <w:szCs w:val="24"/>
          <w:u w:val="single"/>
        </w:rPr>
        <w:t>Dos</w:t>
      </w:r>
      <w:r w:rsidR="005D2692" w:rsidRPr="005D2692">
        <w:rPr>
          <w:rFonts w:ascii="Arial" w:hAnsi="Arial" w:cs="Arial"/>
          <w:i/>
          <w:iCs/>
          <w:sz w:val="24"/>
          <w:szCs w:val="24"/>
          <w:u w:val="single"/>
        </w:rPr>
        <w:t>ing</w:t>
      </w:r>
    </w:p>
    <w:p w14:paraId="17E04965" w14:textId="77777777" w:rsidR="005D2692" w:rsidRPr="005D2692" w:rsidRDefault="0000716D" w:rsidP="0000716D">
      <w:pPr>
        <w:pStyle w:val="Default"/>
        <w:numPr>
          <w:ilvl w:val="4"/>
          <w:numId w:val="1"/>
        </w:numPr>
        <w:spacing w:after="37"/>
        <w:ind w:left="1080"/>
        <w:rPr>
          <w:rFonts w:ascii="Arial" w:hAnsi="Arial" w:cs="Arial"/>
        </w:rPr>
      </w:pPr>
      <w:r w:rsidRPr="005D2692">
        <w:rPr>
          <w:rFonts w:ascii="Arial" w:hAnsi="Arial" w:cs="Arial"/>
        </w:rPr>
        <w:t xml:space="preserve">1. Children 3.5 kg to 39 kg: </w:t>
      </w:r>
    </w:p>
    <w:p w14:paraId="23D49870" w14:textId="6F652F9B" w:rsidR="0000716D" w:rsidRPr="005D2692" w:rsidRDefault="0000716D" w:rsidP="005D2692">
      <w:pPr>
        <w:pStyle w:val="Default"/>
        <w:numPr>
          <w:ilvl w:val="6"/>
          <w:numId w:val="1"/>
        </w:numPr>
        <w:spacing w:after="37"/>
        <w:ind w:left="1530" w:hanging="450"/>
        <w:rPr>
          <w:rFonts w:ascii="Arial" w:hAnsi="Arial" w:cs="Arial"/>
        </w:rPr>
      </w:pPr>
      <w:r w:rsidRPr="005D2692">
        <w:rPr>
          <w:rFonts w:ascii="Arial" w:hAnsi="Arial" w:cs="Arial"/>
        </w:rPr>
        <w:t xml:space="preserve">a. Must receive lyophilized </w:t>
      </w:r>
      <w:proofErr w:type="spellStart"/>
      <w:r w:rsidRPr="005D2692">
        <w:rPr>
          <w:rFonts w:ascii="Arial" w:hAnsi="Arial" w:cs="Arial"/>
        </w:rPr>
        <w:t>remdesivir</w:t>
      </w:r>
      <w:proofErr w:type="spellEnd"/>
      <w:r w:rsidRPr="005D2692">
        <w:rPr>
          <w:rFonts w:ascii="Arial" w:hAnsi="Arial" w:cs="Arial"/>
        </w:rPr>
        <w:t xml:space="preserve"> product </w:t>
      </w:r>
    </w:p>
    <w:p w14:paraId="2DE8D6DB" w14:textId="19503064" w:rsidR="0000716D" w:rsidRPr="005D2692" w:rsidRDefault="0000716D" w:rsidP="005D2692">
      <w:pPr>
        <w:pStyle w:val="Default"/>
        <w:numPr>
          <w:ilvl w:val="4"/>
          <w:numId w:val="1"/>
        </w:numPr>
        <w:spacing w:after="37"/>
        <w:ind w:left="1530" w:hanging="450"/>
        <w:rPr>
          <w:rFonts w:ascii="Arial" w:hAnsi="Arial" w:cs="Arial"/>
        </w:rPr>
      </w:pPr>
      <w:r w:rsidRPr="005D2692">
        <w:rPr>
          <w:rFonts w:ascii="Arial" w:hAnsi="Arial" w:cs="Arial"/>
        </w:rPr>
        <w:t>b. Loading dose 5 mg/kg x 1 then 2.5 mg/kg q24h x 4 days (for a total of 5 days of therapy</w:t>
      </w:r>
      <w:r w:rsidR="003859B1">
        <w:rPr>
          <w:rFonts w:ascii="Arial" w:hAnsi="Arial" w:cs="Arial"/>
        </w:rPr>
        <w:t xml:space="preserve"> or hospital discharge, whichever is first</w:t>
      </w:r>
      <w:r w:rsidRPr="005D2692">
        <w:rPr>
          <w:rFonts w:ascii="Arial" w:hAnsi="Arial" w:cs="Arial"/>
        </w:rPr>
        <w:t xml:space="preserve">) </w:t>
      </w:r>
    </w:p>
    <w:p w14:paraId="5D3C873A" w14:textId="77777777" w:rsidR="0000716D" w:rsidRPr="005D2692" w:rsidRDefault="0000716D" w:rsidP="005D2692">
      <w:pPr>
        <w:pStyle w:val="Default"/>
        <w:ind w:left="1080"/>
        <w:rPr>
          <w:rFonts w:ascii="Arial" w:hAnsi="Arial" w:cs="Arial"/>
        </w:rPr>
      </w:pPr>
    </w:p>
    <w:p w14:paraId="5D9983E1" w14:textId="7395B8C5" w:rsidR="005D2692" w:rsidRPr="005D2692" w:rsidRDefault="0000716D" w:rsidP="005D2692">
      <w:pPr>
        <w:pStyle w:val="Default"/>
        <w:numPr>
          <w:ilvl w:val="4"/>
          <w:numId w:val="1"/>
        </w:numPr>
        <w:spacing w:after="39"/>
        <w:ind w:left="1080"/>
        <w:rPr>
          <w:rFonts w:ascii="Arial" w:hAnsi="Arial" w:cs="Arial"/>
        </w:rPr>
      </w:pPr>
      <w:r w:rsidRPr="005D2692">
        <w:rPr>
          <w:rFonts w:ascii="Arial" w:hAnsi="Arial" w:cs="Arial"/>
        </w:rPr>
        <w:t xml:space="preserve">2. Children &gt; 40 kg: </w:t>
      </w:r>
    </w:p>
    <w:p w14:paraId="761C9E4C" w14:textId="55E6DE2C" w:rsidR="0000716D" w:rsidRPr="005D2692" w:rsidRDefault="0000716D" w:rsidP="005D2692">
      <w:pPr>
        <w:pStyle w:val="Default"/>
        <w:numPr>
          <w:ilvl w:val="4"/>
          <w:numId w:val="1"/>
        </w:numPr>
        <w:spacing w:after="39"/>
        <w:ind w:left="1530" w:hanging="450"/>
        <w:rPr>
          <w:rFonts w:ascii="Arial" w:hAnsi="Arial" w:cs="Arial"/>
        </w:rPr>
      </w:pPr>
      <w:r w:rsidRPr="005D2692">
        <w:rPr>
          <w:rFonts w:ascii="Arial" w:hAnsi="Arial" w:cs="Arial"/>
        </w:rPr>
        <w:t xml:space="preserve">a. May receive either liquid or lyophilized </w:t>
      </w:r>
      <w:proofErr w:type="spellStart"/>
      <w:r w:rsidRPr="005D2692">
        <w:rPr>
          <w:rFonts w:ascii="Arial" w:hAnsi="Arial" w:cs="Arial"/>
        </w:rPr>
        <w:t>remdesivir</w:t>
      </w:r>
      <w:proofErr w:type="spellEnd"/>
      <w:r w:rsidRPr="005D2692">
        <w:rPr>
          <w:rFonts w:ascii="Arial" w:hAnsi="Arial" w:cs="Arial"/>
        </w:rPr>
        <w:t xml:space="preserve"> product </w:t>
      </w:r>
    </w:p>
    <w:p w14:paraId="1EAFB913" w14:textId="43738E1A" w:rsidR="003859B1" w:rsidRDefault="0000716D" w:rsidP="003859B1">
      <w:pPr>
        <w:pStyle w:val="Default"/>
        <w:numPr>
          <w:ilvl w:val="4"/>
          <w:numId w:val="1"/>
        </w:numPr>
        <w:ind w:left="1530" w:hanging="450"/>
        <w:rPr>
          <w:rFonts w:ascii="Arial" w:hAnsi="Arial" w:cs="Arial"/>
        </w:rPr>
      </w:pPr>
      <w:r w:rsidRPr="005D2692">
        <w:rPr>
          <w:rFonts w:ascii="Arial" w:hAnsi="Arial" w:cs="Arial"/>
        </w:rPr>
        <w:t>b. Loading dose 200 mg x 1 then 100 mg q24h x 4 days (for a total of 5 days of therapy</w:t>
      </w:r>
      <w:r w:rsidR="003859B1">
        <w:rPr>
          <w:rFonts w:ascii="Arial" w:hAnsi="Arial" w:cs="Arial"/>
        </w:rPr>
        <w:t xml:space="preserve"> or hospital discharge, whichever is first</w:t>
      </w:r>
      <w:r w:rsidRPr="005D2692">
        <w:rPr>
          <w:rFonts w:ascii="Arial" w:hAnsi="Arial" w:cs="Arial"/>
        </w:rPr>
        <w:t xml:space="preserve">) </w:t>
      </w:r>
    </w:p>
    <w:p w14:paraId="431F5DD4" w14:textId="77777777" w:rsidR="009C51C4" w:rsidRPr="003859B1" w:rsidRDefault="009C51C4" w:rsidP="003859B1">
      <w:pPr>
        <w:pStyle w:val="Default"/>
        <w:numPr>
          <w:ilvl w:val="4"/>
          <w:numId w:val="1"/>
        </w:numPr>
        <w:ind w:left="1530" w:hanging="450"/>
        <w:rPr>
          <w:rFonts w:ascii="Arial" w:hAnsi="Arial" w:cs="Arial"/>
        </w:rPr>
      </w:pPr>
    </w:p>
    <w:p w14:paraId="664E079A" w14:textId="14FE609C" w:rsidR="0000716D" w:rsidRPr="005D2692" w:rsidRDefault="003859B1" w:rsidP="005D2692">
      <w:pPr>
        <w:pStyle w:val="Default"/>
        <w:rPr>
          <w:rFonts w:ascii="Arial" w:hAnsi="Arial" w:cs="Arial"/>
        </w:rPr>
      </w:pPr>
      <w:r>
        <w:rPr>
          <w:rFonts w:ascii="Arial" w:hAnsi="Arial" w:cs="Arial"/>
        </w:rPr>
        <w:t>Note: A 10</w:t>
      </w:r>
      <w:r w:rsidR="009C51C4">
        <w:rPr>
          <w:rFonts w:ascii="Arial" w:hAnsi="Arial" w:cs="Arial"/>
        </w:rPr>
        <w:t>-</w:t>
      </w:r>
      <w:r>
        <w:rPr>
          <w:rFonts w:ascii="Arial" w:hAnsi="Arial" w:cs="Arial"/>
        </w:rPr>
        <w:t>day course can be considered on a case-by-case basis for those not improving on ECMO or mechanical ventilation.</w:t>
      </w:r>
    </w:p>
    <w:p w14:paraId="5A867E07" w14:textId="77777777" w:rsidR="0000716D" w:rsidRPr="005D2692" w:rsidRDefault="0000716D" w:rsidP="005D2692">
      <w:pPr>
        <w:pStyle w:val="Default"/>
        <w:ind w:left="1080"/>
        <w:rPr>
          <w:rFonts w:ascii="Arial" w:hAnsi="Arial" w:cs="Arial"/>
        </w:rPr>
      </w:pPr>
    </w:p>
    <w:p w14:paraId="68B23DD4" w14:textId="77777777" w:rsidR="009C51C4" w:rsidRDefault="009C51C4" w:rsidP="005D2692">
      <w:pPr>
        <w:autoSpaceDE w:val="0"/>
        <w:autoSpaceDN w:val="0"/>
        <w:adjustRightInd w:val="0"/>
        <w:spacing w:after="0" w:line="240" w:lineRule="auto"/>
        <w:rPr>
          <w:rFonts w:ascii="Arial" w:hAnsi="Arial" w:cs="Arial"/>
          <w:i/>
          <w:iCs/>
          <w:sz w:val="24"/>
          <w:szCs w:val="24"/>
          <w:u w:val="single"/>
        </w:rPr>
      </w:pPr>
    </w:p>
    <w:p w14:paraId="7F45A664" w14:textId="28D0AE0F" w:rsidR="005D2692" w:rsidRPr="005D2692" w:rsidRDefault="0000716D" w:rsidP="005D2692">
      <w:pPr>
        <w:autoSpaceDE w:val="0"/>
        <w:autoSpaceDN w:val="0"/>
        <w:adjustRightInd w:val="0"/>
        <w:spacing w:after="0" w:line="240" w:lineRule="auto"/>
        <w:rPr>
          <w:rFonts w:ascii="Arial" w:hAnsi="Arial" w:cs="Arial"/>
          <w:sz w:val="24"/>
          <w:szCs w:val="24"/>
          <w:u w:val="single"/>
        </w:rPr>
      </w:pPr>
      <w:r w:rsidRPr="005D2692">
        <w:rPr>
          <w:rFonts w:ascii="Arial" w:hAnsi="Arial" w:cs="Arial"/>
          <w:i/>
          <w:iCs/>
          <w:sz w:val="24"/>
          <w:szCs w:val="24"/>
          <w:u w:val="single"/>
        </w:rPr>
        <w:lastRenderedPageBreak/>
        <w:t>Monitoring</w:t>
      </w:r>
      <w:r w:rsidRPr="005D2692">
        <w:rPr>
          <w:rFonts w:ascii="Arial" w:hAnsi="Arial" w:cs="Arial"/>
          <w:sz w:val="24"/>
          <w:szCs w:val="24"/>
          <w:u w:val="single"/>
        </w:rPr>
        <w:t xml:space="preserve"> </w:t>
      </w:r>
      <w:r w:rsidR="009C51C4" w:rsidRPr="009C51C4">
        <w:rPr>
          <w:rFonts w:ascii="Arial" w:hAnsi="Arial" w:cs="Arial"/>
          <w:i/>
          <w:iCs/>
          <w:sz w:val="24"/>
          <w:szCs w:val="24"/>
          <w:u w:val="single"/>
        </w:rPr>
        <w:t xml:space="preserve">while receiving </w:t>
      </w:r>
      <w:proofErr w:type="spellStart"/>
      <w:r w:rsidR="009C51C4" w:rsidRPr="009C51C4">
        <w:rPr>
          <w:rFonts w:ascii="Arial" w:hAnsi="Arial" w:cs="Arial"/>
          <w:i/>
          <w:iCs/>
          <w:sz w:val="24"/>
          <w:szCs w:val="24"/>
          <w:u w:val="single"/>
        </w:rPr>
        <w:t>remdesivir</w:t>
      </w:r>
      <w:proofErr w:type="spellEnd"/>
    </w:p>
    <w:p w14:paraId="2179365D" w14:textId="449667A1" w:rsidR="009C51C4" w:rsidRPr="009C51C4" w:rsidRDefault="005D2692" w:rsidP="009C51C4">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9C51C4">
        <w:rPr>
          <w:rFonts w:ascii="Arial" w:hAnsi="Arial" w:cs="Arial"/>
          <w:sz w:val="24"/>
          <w:szCs w:val="24"/>
        </w:rPr>
        <w:t xml:space="preserve">Daily </w:t>
      </w:r>
      <w:r w:rsidR="0000716D" w:rsidRPr="009C51C4">
        <w:rPr>
          <w:rFonts w:ascii="Arial" w:hAnsi="Arial" w:cs="Arial"/>
          <w:color w:val="000000"/>
          <w:sz w:val="24"/>
          <w:szCs w:val="24"/>
        </w:rPr>
        <w:t xml:space="preserve">CBC, CMP </w:t>
      </w:r>
    </w:p>
    <w:p w14:paraId="0572E1AF" w14:textId="18FAD9B1" w:rsidR="0000716D" w:rsidRPr="009C51C4" w:rsidRDefault="0000716D" w:rsidP="009C51C4">
      <w:pPr>
        <w:pStyle w:val="ListParagraph"/>
        <w:numPr>
          <w:ilvl w:val="0"/>
          <w:numId w:val="6"/>
        </w:numPr>
        <w:autoSpaceDE w:val="0"/>
        <w:autoSpaceDN w:val="0"/>
        <w:adjustRightInd w:val="0"/>
        <w:spacing w:after="0" w:line="240" w:lineRule="auto"/>
        <w:rPr>
          <w:rFonts w:ascii="Arial" w:hAnsi="Arial" w:cs="Arial"/>
          <w:sz w:val="24"/>
          <w:szCs w:val="24"/>
        </w:rPr>
      </w:pPr>
      <w:r w:rsidRPr="009C51C4">
        <w:rPr>
          <w:rFonts w:ascii="Arial" w:hAnsi="Arial" w:cs="Arial"/>
          <w:color w:val="000000"/>
          <w:sz w:val="24"/>
          <w:szCs w:val="24"/>
        </w:rPr>
        <w:t xml:space="preserve">INR </w:t>
      </w:r>
      <w:r w:rsidR="009C51C4" w:rsidRPr="009C51C4">
        <w:rPr>
          <w:rFonts w:ascii="Arial" w:hAnsi="Arial" w:cs="Arial"/>
          <w:color w:val="000000"/>
          <w:sz w:val="24"/>
          <w:szCs w:val="24"/>
        </w:rPr>
        <w:t xml:space="preserve">at </w:t>
      </w:r>
      <w:r w:rsidRPr="009C51C4">
        <w:rPr>
          <w:rFonts w:ascii="Arial" w:hAnsi="Arial" w:cs="Arial"/>
          <w:color w:val="000000"/>
          <w:sz w:val="24"/>
          <w:szCs w:val="24"/>
        </w:rPr>
        <w:t xml:space="preserve">baseline </w:t>
      </w:r>
      <w:r w:rsidR="009C51C4" w:rsidRPr="009C51C4">
        <w:rPr>
          <w:rFonts w:ascii="Arial" w:hAnsi="Arial" w:cs="Arial"/>
          <w:color w:val="000000"/>
          <w:sz w:val="24"/>
          <w:szCs w:val="24"/>
        </w:rPr>
        <w:t>and as needed</w:t>
      </w:r>
      <w:r w:rsidRPr="009C51C4">
        <w:rPr>
          <w:rFonts w:ascii="Arial" w:hAnsi="Arial" w:cs="Arial"/>
          <w:color w:val="000000"/>
          <w:sz w:val="24"/>
          <w:szCs w:val="24"/>
        </w:rPr>
        <w:t xml:space="preserve"> </w:t>
      </w:r>
    </w:p>
    <w:p w14:paraId="6A7E0F73" w14:textId="7B573456" w:rsidR="009C51C4" w:rsidRDefault="009C51C4" w:rsidP="009C51C4">
      <w:pPr>
        <w:autoSpaceDE w:val="0"/>
        <w:autoSpaceDN w:val="0"/>
        <w:adjustRightInd w:val="0"/>
        <w:spacing w:after="0" w:line="240" w:lineRule="auto"/>
        <w:rPr>
          <w:rFonts w:ascii="Arial" w:hAnsi="Arial" w:cs="Arial"/>
          <w:sz w:val="24"/>
          <w:szCs w:val="24"/>
        </w:rPr>
      </w:pPr>
    </w:p>
    <w:p w14:paraId="5B7FD00F" w14:textId="515DC35D" w:rsidR="009C51C4" w:rsidRDefault="009C51C4" w:rsidP="009C51C4">
      <w:pPr>
        <w:autoSpaceDE w:val="0"/>
        <w:autoSpaceDN w:val="0"/>
        <w:adjustRightInd w:val="0"/>
        <w:spacing w:after="0" w:line="240" w:lineRule="auto"/>
        <w:rPr>
          <w:rFonts w:ascii="Arial" w:hAnsi="Arial" w:cs="Arial"/>
          <w:sz w:val="24"/>
          <w:szCs w:val="24"/>
        </w:rPr>
      </w:pPr>
    </w:p>
    <w:p w14:paraId="151CA08D" w14:textId="77777777" w:rsidR="009C51C4" w:rsidRPr="009C51C4" w:rsidRDefault="009C51C4" w:rsidP="009C51C4">
      <w:pPr>
        <w:autoSpaceDE w:val="0"/>
        <w:autoSpaceDN w:val="0"/>
        <w:adjustRightInd w:val="0"/>
        <w:spacing w:after="0" w:line="240" w:lineRule="auto"/>
        <w:rPr>
          <w:rFonts w:ascii="Arial" w:hAnsi="Arial" w:cs="Arial"/>
          <w:sz w:val="24"/>
          <w:szCs w:val="24"/>
        </w:rPr>
      </w:pPr>
    </w:p>
    <w:p w14:paraId="4E79CC09" w14:textId="23258DA3" w:rsidR="0000716D" w:rsidRPr="005D2692" w:rsidRDefault="0000716D">
      <w:pPr>
        <w:rPr>
          <w:rFonts w:ascii="Arial" w:hAnsi="Arial" w:cs="Arial"/>
          <w:b/>
          <w:bCs/>
          <w:sz w:val="24"/>
          <w:szCs w:val="24"/>
        </w:rPr>
      </w:pPr>
      <w:r w:rsidRPr="005D2692">
        <w:rPr>
          <w:rFonts w:ascii="Arial" w:hAnsi="Arial" w:cs="Arial"/>
          <w:b/>
          <w:bCs/>
          <w:sz w:val="24"/>
          <w:szCs w:val="24"/>
        </w:rPr>
        <w:t xml:space="preserve">Corticosteroids </w:t>
      </w:r>
    </w:p>
    <w:p w14:paraId="2880F09B" w14:textId="07DDCC3A" w:rsidR="0000716D" w:rsidRPr="005D2692" w:rsidRDefault="005D2692">
      <w:pPr>
        <w:rPr>
          <w:rFonts w:ascii="Arial" w:hAnsi="Arial" w:cs="Arial"/>
          <w:i/>
          <w:iCs/>
          <w:sz w:val="24"/>
          <w:szCs w:val="24"/>
          <w:u w:val="single"/>
        </w:rPr>
      </w:pPr>
      <w:r w:rsidRPr="005D2692">
        <w:rPr>
          <w:rFonts w:ascii="Arial" w:hAnsi="Arial" w:cs="Arial"/>
          <w:i/>
          <w:iCs/>
          <w:sz w:val="24"/>
          <w:szCs w:val="24"/>
          <w:u w:val="single"/>
        </w:rPr>
        <w:t>Indications</w:t>
      </w:r>
    </w:p>
    <w:p w14:paraId="5E9B2E1B" w14:textId="1D20FB41" w:rsidR="0000716D" w:rsidRPr="005D2692" w:rsidRDefault="0000716D">
      <w:pPr>
        <w:rPr>
          <w:rFonts w:ascii="Arial" w:hAnsi="Arial" w:cs="Arial"/>
          <w:sz w:val="24"/>
          <w:szCs w:val="24"/>
        </w:rPr>
      </w:pPr>
      <w:r w:rsidRPr="005D2692">
        <w:rPr>
          <w:rFonts w:ascii="Arial" w:hAnsi="Arial" w:cs="Arial"/>
          <w:sz w:val="24"/>
          <w:szCs w:val="24"/>
        </w:rPr>
        <w:t>For hospitalized patients with COVID-19 who require supplemental respiratory support (including supplemental oxygen, non-invasive ventilation, invasive ventilation, or ECMO)</w:t>
      </w:r>
      <w:r w:rsidR="005D2692" w:rsidRPr="005D2692">
        <w:rPr>
          <w:rFonts w:ascii="Arial" w:hAnsi="Arial" w:cs="Arial"/>
          <w:sz w:val="24"/>
          <w:szCs w:val="24"/>
        </w:rPr>
        <w:t xml:space="preserve">.  Generally given concurrently with </w:t>
      </w:r>
      <w:proofErr w:type="spellStart"/>
      <w:r w:rsidR="005D2692" w:rsidRPr="005D2692">
        <w:rPr>
          <w:rFonts w:ascii="Arial" w:hAnsi="Arial" w:cs="Arial"/>
          <w:sz w:val="24"/>
          <w:szCs w:val="24"/>
        </w:rPr>
        <w:t>remdesivir</w:t>
      </w:r>
      <w:proofErr w:type="spellEnd"/>
      <w:r w:rsidR="005D2692" w:rsidRPr="005D2692">
        <w:rPr>
          <w:rFonts w:ascii="Arial" w:hAnsi="Arial" w:cs="Arial"/>
          <w:sz w:val="24"/>
          <w:szCs w:val="24"/>
        </w:rPr>
        <w:t xml:space="preserve"> unless contraindicated.</w:t>
      </w:r>
    </w:p>
    <w:p w14:paraId="3F4AB29A" w14:textId="2FB2A247" w:rsidR="0000716D" w:rsidRPr="005D2692" w:rsidRDefault="0000716D">
      <w:pPr>
        <w:rPr>
          <w:rFonts w:ascii="Arial" w:hAnsi="Arial" w:cs="Arial"/>
          <w:sz w:val="24"/>
          <w:szCs w:val="24"/>
        </w:rPr>
      </w:pPr>
    </w:p>
    <w:p w14:paraId="7C73B10F" w14:textId="1DDB55B2" w:rsidR="0000716D" w:rsidRPr="005D2692" w:rsidRDefault="0000716D">
      <w:pPr>
        <w:rPr>
          <w:rFonts w:ascii="Arial" w:hAnsi="Arial" w:cs="Arial"/>
          <w:i/>
          <w:iCs/>
          <w:sz w:val="24"/>
          <w:szCs w:val="24"/>
          <w:u w:val="single"/>
        </w:rPr>
      </w:pPr>
      <w:r w:rsidRPr="005D2692">
        <w:rPr>
          <w:rFonts w:ascii="Arial" w:hAnsi="Arial" w:cs="Arial"/>
          <w:i/>
          <w:iCs/>
          <w:sz w:val="24"/>
          <w:szCs w:val="24"/>
          <w:u w:val="single"/>
        </w:rPr>
        <w:t>Dosing</w:t>
      </w:r>
    </w:p>
    <w:p w14:paraId="53F0FE43" w14:textId="5F572B87" w:rsidR="005D2692" w:rsidRPr="005D2692" w:rsidRDefault="0000716D" w:rsidP="005D2692">
      <w:pPr>
        <w:pStyle w:val="ListParagraph"/>
        <w:numPr>
          <w:ilvl w:val="0"/>
          <w:numId w:val="4"/>
        </w:numPr>
        <w:autoSpaceDE w:val="0"/>
        <w:autoSpaceDN w:val="0"/>
        <w:adjustRightInd w:val="0"/>
        <w:spacing w:after="327" w:line="240" w:lineRule="auto"/>
        <w:rPr>
          <w:rFonts w:ascii="Arial" w:hAnsi="Arial" w:cs="Arial"/>
          <w:color w:val="000000"/>
          <w:sz w:val="24"/>
          <w:szCs w:val="24"/>
        </w:rPr>
      </w:pPr>
      <w:r w:rsidRPr="005D2692">
        <w:rPr>
          <w:rFonts w:ascii="Arial" w:hAnsi="Arial" w:cs="Arial"/>
          <w:color w:val="000000"/>
          <w:sz w:val="24"/>
          <w:szCs w:val="24"/>
        </w:rPr>
        <w:t>Dexam</w:t>
      </w:r>
      <w:r w:rsidR="005D2692" w:rsidRPr="005D2692">
        <w:rPr>
          <w:rFonts w:ascii="Arial" w:hAnsi="Arial" w:cs="Arial"/>
          <w:color w:val="000000"/>
          <w:sz w:val="24"/>
          <w:szCs w:val="24"/>
        </w:rPr>
        <w:t>e</w:t>
      </w:r>
      <w:r w:rsidRPr="005D2692">
        <w:rPr>
          <w:rFonts w:ascii="Arial" w:hAnsi="Arial" w:cs="Arial"/>
          <w:color w:val="000000"/>
          <w:sz w:val="24"/>
          <w:szCs w:val="24"/>
        </w:rPr>
        <w:t xml:space="preserve">thasone (oral/ng/iv) 0.15 mg/kg/dose once daily (maximum dose: 6mg) </w:t>
      </w:r>
      <w:r w:rsidR="005D2692" w:rsidRPr="005D2692">
        <w:rPr>
          <w:rFonts w:ascii="Arial" w:hAnsi="Arial" w:cs="Arial"/>
          <w:color w:val="000000"/>
          <w:sz w:val="24"/>
          <w:szCs w:val="24"/>
        </w:rPr>
        <w:t xml:space="preserve">for 10 days unless contraindicated.  </w:t>
      </w:r>
    </w:p>
    <w:p w14:paraId="6C189679" w14:textId="4E6D2E5E" w:rsidR="005D2692" w:rsidRPr="005D2692" w:rsidRDefault="005D2692" w:rsidP="005D2692">
      <w:pPr>
        <w:pStyle w:val="ListParagraph"/>
        <w:numPr>
          <w:ilvl w:val="0"/>
          <w:numId w:val="5"/>
        </w:numPr>
        <w:autoSpaceDE w:val="0"/>
        <w:autoSpaceDN w:val="0"/>
        <w:adjustRightInd w:val="0"/>
        <w:spacing w:after="327" w:line="240" w:lineRule="auto"/>
        <w:ind w:left="1260" w:hanging="540"/>
        <w:rPr>
          <w:rFonts w:ascii="Arial" w:hAnsi="Arial" w:cs="Arial"/>
          <w:color w:val="000000"/>
          <w:sz w:val="24"/>
          <w:szCs w:val="24"/>
        </w:rPr>
      </w:pPr>
      <w:r w:rsidRPr="005D2692">
        <w:rPr>
          <w:rFonts w:ascii="Arial" w:hAnsi="Arial" w:cs="Arial"/>
          <w:color w:val="000000"/>
          <w:sz w:val="24"/>
          <w:szCs w:val="24"/>
        </w:rPr>
        <w:t xml:space="preserve">Medication can be given IV if the patient is unable to tolerate PO </w:t>
      </w:r>
    </w:p>
    <w:p w14:paraId="04A98479" w14:textId="77777777" w:rsidR="005D2692" w:rsidRPr="005D2692" w:rsidRDefault="005D2692" w:rsidP="005D2692">
      <w:pPr>
        <w:pStyle w:val="ListParagraph"/>
        <w:autoSpaceDE w:val="0"/>
        <w:autoSpaceDN w:val="0"/>
        <w:adjustRightInd w:val="0"/>
        <w:spacing w:after="327" w:line="240" w:lineRule="auto"/>
        <w:ind w:firstLine="720"/>
        <w:rPr>
          <w:rFonts w:ascii="Arial" w:hAnsi="Arial" w:cs="Arial"/>
          <w:color w:val="000000"/>
          <w:sz w:val="24"/>
          <w:szCs w:val="24"/>
        </w:rPr>
      </w:pPr>
    </w:p>
    <w:p w14:paraId="55DD6D38" w14:textId="1F848878" w:rsidR="005D2692" w:rsidRPr="005D2692" w:rsidRDefault="0000716D" w:rsidP="005D2692">
      <w:pPr>
        <w:pStyle w:val="ListParagraph"/>
        <w:autoSpaceDE w:val="0"/>
        <w:autoSpaceDN w:val="0"/>
        <w:adjustRightInd w:val="0"/>
        <w:spacing w:after="327" w:line="240" w:lineRule="auto"/>
        <w:ind w:hanging="360"/>
        <w:rPr>
          <w:rFonts w:ascii="Arial" w:hAnsi="Arial" w:cs="Arial"/>
          <w:color w:val="000000"/>
          <w:sz w:val="24"/>
          <w:szCs w:val="24"/>
        </w:rPr>
      </w:pPr>
      <w:r w:rsidRPr="0000716D">
        <w:rPr>
          <w:rFonts w:ascii="Arial" w:hAnsi="Arial" w:cs="Arial"/>
          <w:color w:val="000000"/>
          <w:sz w:val="24"/>
          <w:szCs w:val="24"/>
        </w:rPr>
        <w:t>2. Note: Glucocorticoid dosing recommendations currently include dexamethasone 6mg iv or po x10 days (or until discharge, whichever is earlier) with equivalent glucocorticoid dose used if dexamethasone is unavailable (Equivalent total daily doses of alternative glucocorticoids to dexamethasone 6 mg daily are methylprednisolone 32 mg and prednisone 40 mg)</w:t>
      </w:r>
      <w:r w:rsidR="005D2692" w:rsidRPr="005D2692">
        <w:rPr>
          <w:rFonts w:ascii="Arial" w:hAnsi="Arial" w:cs="Arial"/>
          <w:color w:val="000000"/>
          <w:sz w:val="24"/>
          <w:szCs w:val="24"/>
        </w:rPr>
        <w:t xml:space="preserve">. </w:t>
      </w:r>
      <w:r w:rsidR="005D2692" w:rsidRPr="005D2692">
        <w:rPr>
          <w:rFonts w:ascii="Arial" w:hAnsi="Arial" w:cs="Arial"/>
          <w:sz w:val="24"/>
          <w:szCs w:val="24"/>
        </w:rPr>
        <w:t xml:space="preserve"> Inpatients who are ready for discharge in stable condition and do not require supplemental oxygen at discharge may not require completion of a course of dexamethasone.</w:t>
      </w:r>
    </w:p>
    <w:p w14:paraId="3376C826" w14:textId="2AB3D683" w:rsidR="0000716D" w:rsidRPr="0000716D" w:rsidRDefault="0000716D" w:rsidP="0000716D">
      <w:pPr>
        <w:autoSpaceDE w:val="0"/>
        <w:autoSpaceDN w:val="0"/>
        <w:adjustRightInd w:val="0"/>
        <w:spacing w:after="0" w:line="240" w:lineRule="auto"/>
        <w:rPr>
          <w:rFonts w:ascii="Arial" w:hAnsi="Arial" w:cs="Arial"/>
          <w:color w:val="000000"/>
          <w:sz w:val="24"/>
          <w:szCs w:val="24"/>
        </w:rPr>
      </w:pPr>
    </w:p>
    <w:p w14:paraId="33B6BE35" w14:textId="77777777" w:rsidR="0000716D" w:rsidRPr="0000716D" w:rsidRDefault="0000716D" w:rsidP="0000716D">
      <w:pPr>
        <w:autoSpaceDE w:val="0"/>
        <w:autoSpaceDN w:val="0"/>
        <w:adjustRightInd w:val="0"/>
        <w:spacing w:after="0" w:line="240" w:lineRule="auto"/>
        <w:rPr>
          <w:rFonts w:ascii="Arial" w:hAnsi="Arial" w:cs="Arial"/>
          <w:color w:val="000000"/>
          <w:sz w:val="24"/>
          <w:szCs w:val="24"/>
        </w:rPr>
      </w:pPr>
    </w:p>
    <w:p w14:paraId="60259017" w14:textId="5C5EF6B5" w:rsidR="0000716D" w:rsidRPr="005D2692" w:rsidRDefault="005D2692">
      <w:pPr>
        <w:rPr>
          <w:rFonts w:ascii="Arial" w:hAnsi="Arial" w:cs="Arial"/>
          <w:sz w:val="24"/>
          <w:szCs w:val="24"/>
        </w:rPr>
      </w:pPr>
      <w:r w:rsidRPr="005D2692">
        <w:rPr>
          <w:rFonts w:ascii="Arial" w:hAnsi="Arial" w:cs="Arial"/>
          <w:sz w:val="24"/>
          <w:szCs w:val="24"/>
        </w:rPr>
        <w:t xml:space="preserve">For additional details refer to the VUMC COVID-19 Clinical Guidelines </w:t>
      </w:r>
      <w:hyperlink r:id="rId7" w:history="1">
        <w:r w:rsidRPr="005D2692">
          <w:rPr>
            <w:rStyle w:val="Hyperlink"/>
            <w:rFonts w:ascii="Arial" w:hAnsi="Arial" w:cs="Arial"/>
            <w:sz w:val="24"/>
            <w:szCs w:val="24"/>
          </w:rPr>
          <w:t>https://www.vumc.org/coronavirus/sites/default/files/COVID%20Documents/Weekly%20COVID-19%20Clinical%20Guidelines%20Update%20Summary.pdf</w:t>
        </w:r>
      </w:hyperlink>
    </w:p>
    <w:p w14:paraId="28266472" w14:textId="77777777" w:rsidR="005D2692" w:rsidRDefault="005D2692"/>
    <w:sectPr w:rsidR="005D269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597AB" w14:textId="77777777" w:rsidR="0075499D" w:rsidRDefault="0075499D" w:rsidP="0075499D">
      <w:pPr>
        <w:spacing w:after="0" w:line="240" w:lineRule="auto"/>
      </w:pPr>
      <w:r>
        <w:separator/>
      </w:r>
    </w:p>
  </w:endnote>
  <w:endnote w:type="continuationSeparator" w:id="0">
    <w:p w14:paraId="274A7CA1" w14:textId="77777777" w:rsidR="0075499D" w:rsidRDefault="0075499D" w:rsidP="0075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CA6B2" w14:textId="77777777" w:rsidR="0075499D" w:rsidRDefault="0075499D" w:rsidP="0075499D">
      <w:pPr>
        <w:spacing w:after="0" w:line="240" w:lineRule="auto"/>
      </w:pPr>
      <w:r>
        <w:separator/>
      </w:r>
    </w:p>
  </w:footnote>
  <w:footnote w:type="continuationSeparator" w:id="0">
    <w:p w14:paraId="272061E9" w14:textId="77777777" w:rsidR="0075499D" w:rsidRDefault="0075499D" w:rsidP="00754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E1148" w14:textId="2EC3E24F" w:rsidR="0075499D" w:rsidRPr="0075499D" w:rsidRDefault="0075499D">
    <w:pPr>
      <w:pStyle w:val="Header"/>
      <w:rPr>
        <w:rFonts w:ascii="Arial" w:hAnsi="Arial" w:cs="Arial"/>
      </w:rPr>
    </w:pPr>
    <w:r w:rsidRPr="0075499D">
      <w:rPr>
        <w:rFonts w:ascii="Arial" w:hAnsi="Arial" w:cs="Arial"/>
      </w:rPr>
      <w:t>Updated August 3, 2021</w:t>
    </w:r>
  </w:p>
  <w:p w14:paraId="67E93A51" w14:textId="77777777" w:rsidR="0075499D" w:rsidRDefault="00754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966AAB"/>
    <w:multiLevelType w:val="multilevel"/>
    <w:tmpl w:val="F64ECBE0"/>
    <w:lvl w:ilvl="0">
      <w:start w:val="1"/>
      <w:numFmt w:val="upperRoman"/>
      <w:lvlText w:val="%1"/>
      <w:lvlJc w:val="left"/>
    </w:lvl>
    <w:lvl w:ilvl="1">
      <w:start w:val="1"/>
      <w:numFmt w:val="upperLetter"/>
      <w:lvlText w:val=""/>
      <w:lvlJc w:val="left"/>
    </w:lvl>
    <w:lvl w:ilvl="2">
      <w:start w:val="1"/>
      <w:numFmt w:val="lowerRoman"/>
      <w:lvlText w:val="%1"/>
      <w:lvlJc w:val="left"/>
    </w:lvl>
    <w:lvl w:ilvl="3">
      <w:start w:val="1"/>
      <w:numFmt w:val="ideographDigital"/>
      <w:lvlText w:val=""/>
      <w:lvlJc w:val="left"/>
    </w:lvl>
    <w:lvl w:ilvl="4">
      <w:start w:val="1"/>
      <w:numFmt w:val="lowerLetter"/>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602DF6"/>
    <w:multiLevelType w:val="multilevel"/>
    <w:tmpl w:val="DCC0302E"/>
    <w:lvl w:ilvl="0">
      <w:start w:val="1"/>
      <w:numFmt w:val="upperRoman"/>
      <w:lvlText w:val="%1"/>
      <w:lvlJc w:val="left"/>
    </w:lvl>
    <w:lvl w:ilvl="1">
      <w:start w:val="1"/>
      <w:numFmt w:val="lowerLetter"/>
      <w:lvlText w:val=""/>
      <w:lvlJc w:val="left"/>
    </w:lvl>
    <w:lvl w:ilvl="2">
      <w:start w:val="1"/>
      <w:numFmt w:val="lowerRoman"/>
      <w:lvlText w:val="%1"/>
      <w:lvlJc w:val="left"/>
    </w:lvl>
    <w:lvl w:ilvl="3">
      <w:start w:val="1"/>
      <w:numFmt w:val="ideographDigit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F96669"/>
    <w:multiLevelType w:val="multilevel"/>
    <w:tmpl w:val="C9AC793C"/>
    <w:lvl w:ilvl="0">
      <w:start w:val="1"/>
      <w:numFmt w:val="upperRoman"/>
      <w:lvlText w:val="%1"/>
      <w:lvlJc w:val="left"/>
    </w:lvl>
    <w:lvl w:ilvl="1">
      <w:start w:val="1"/>
      <w:numFmt w:val="upperLetter"/>
      <w:lvlText w:val=""/>
      <w:lvlJc w:val="left"/>
    </w:lvl>
    <w:lvl w:ilvl="2">
      <w:start w:val="1"/>
      <w:numFmt w:val="lowerRoman"/>
      <w:lvlText w:val="%1"/>
      <w:lvlJc w:val="left"/>
    </w:lvl>
    <w:lvl w:ilvl="3">
      <w:start w:val="1"/>
      <w:numFmt w:val="ideographDigital"/>
      <w:lvlText w:val=""/>
      <w:lvlJc w:val="left"/>
    </w:lvl>
    <w:lvl w:ilvl="4">
      <w:start w:val="1"/>
      <w:numFmt w:val="lowerLetter"/>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C361CE"/>
    <w:multiLevelType w:val="hybridMultilevel"/>
    <w:tmpl w:val="ADF62A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0057532"/>
    <w:multiLevelType w:val="hybridMultilevel"/>
    <w:tmpl w:val="9446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B2C85"/>
    <w:multiLevelType w:val="hybridMultilevel"/>
    <w:tmpl w:val="78F4C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792"/>
    <w:rsid w:val="0000716D"/>
    <w:rsid w:val="00345501"/>
    <w:rsid w:val="00376792"/>
    <w:rsid w:val="003859B1"/>
    <w:rsid w:val="005D2692"/>
    <w:rsid w:val="00682312"/>
    <w:rsid w:val="0075499D"/>
    <w:rsid w:val="009C51C4"/>
    <w:rsid w:val="00A37E7D"/>
    <w:rsid w:val="00DC5B79"/>
    <w:rsid w:val="00F5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7A2D"/>
  <w15:chartTrackingRefBased/>
  <w15:docId w15:val="{9C11FAE7-E4A4-4320-BCD7-728EEFA5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716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D2692"/>
    <w:pPr>
      <w:ind w:left="720"/>
      <w:contextualSpacing/>
    </w:pPr>
  </w:style>
  <w:style w:type="character" w:styleId="Hyperlink">
    <w:name w:val="Hyperlink"/>
    <w:basedOn w:val="DefaultParagraphFont"/>
    <w:uiPriority w:val="99"/>
    <w:unhideWhenUsed/>
    <w:rsid w:val="005D2692"/>
    <w:rPr>
      <w:color w:val="0563C1" w:themeColor="hyperlink"/>
      <w:u w:val="single"/>
    </w:rPr>
  </w:style>
  <w:style w:type="character" w:customStyle="1" w:styleId="UnresolvedMention1">
    <w:name w:val="Unresolved Mention1"/>
    <w:basedOn w:val="DefaultParagraphFont"/>
    <w:uiPriority w:val="99"/>
    <w:semiHidden/>
    <w:unhideWhenUsed/>
    <w:rsid w:val="005D2692"/>
    <w:rPr>
      <w:color w:val="605E5C"/>
      <w:shd w:val="clear" w:color="auto" w:fill="E1DFDD"/>
    </w:rPr>
  </w:style>
  <w:style w:type="character" w:styleId="CommentReference">
    <w:name w:val="annotation reference"/>
    <w:basedOn w:val="DefaultParagraphFont"/>
    <w:uiPriority w:val="99"/>
    <w:semiHidden/>
    <w:unhideWhenUsed/>
    <w:rsid w:val="005D2692"/>
    <w:rPr>
      <w:sz w:val="16"/>
      <w:szCs w:val="16"/>
    </w:rPr>
  </w:style>
  <w:style w:type="paragraph" w:styleId="CommentText">
    <w:name w:val="annotation text"/>
    <w:basedOn w:val="Normal"/>
    <w:link w:val="CommentTextChar"/>
    <w:uiPriority w:val="99"/>
    <w:semiHidden/>
    <w:unhideWhenUsed/>
    <w:rsid w:val="005D2692"/>
    <w:pPr>
      <w:spacing w:line="240" w:lineRule="auto"/>
    </w:pPr>
    <w:rPr>
      <w:sz w:val="20"/>
      <w:szCs w:val="20"/>
    </w:rPr>
  </w:style>
  <w:style w:type="character" w:customStyle="1" w:styleId="CommentTextChar">
    <w:name w:val="Comment Text Char"/>
    <w:basedOn w:val="DefaultParagraphFont"/>
    <w:link w:val="CommentText"/>
    <w:uiPriority w:val="99"/>
    <w:semiHidden/>
    <w:rsid w:val="005D2692"/>
    <w:rPr>
      <w:sz w:val="20"/>
      <w:szCs w:val="20"/>
    </w:rPr>
  </w:style>
  <w:style w:type="paragraph" w:styleId="CommentSubject">
    <w:name w:val="annotation subject"/>
    <w:basedOn w:val="CommentText"/>
    <w:next w:val="CommentText"/>
    <w:link w:val="CommentSubjectChar"/>
    <w:uiPriority w:val="99"/>
    <w:semiHidden/>
    <w:unhideWhenUsed/>
    <w:rsid w:val="005D2692"/>
    <w:rPr>
      <w:b/>
      <w:bCs/>
    </w:rPr>
  </w:style>
  <w:style w:type="character" w:customStyle="1" w:styleId="CommentSubjectChar">
    <w:name w:val="Comment Subject Char"/>
    <w:basedOn w:val="CommentTextChar"/>
    <w:link w:val="CommentSubject"/>
    <w:uiPriority w:val="99"/>
    <w:semiHidden/>
    <w:rsid w:val="005D2692"/>
    <w:rPr>
      <w:b/>
      <w:bCs/>
      <w:sz w:val="20"/>
      <w:szCs w:val="20"/>
    </w:rPr>
  </w:style>
  <w:style w:type="paragraph" w:styleId="BalloonText">
    <w:name w:val="Balloon Text"/>
    <w:basedOn w:val="Normal"/>
    <w:link w:val="BalloonTextChar"/>
    <w:uiPriority w:val="99"/>
    <w:semiHidden/>
    <w:unhideWhenUsed/>
    <w:rsid w:val="00385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9B1"/>
    <w:rPr>
      <w:rFonts w:ascii="Segoe UI" w:hAnsi="Segoe UI" w:cs="Segoe UI"/>
      <w:sz w:val="18"/>
      <w:szCs w:val="18"/>
    </w:rPr>
  </w:style>
  <w:style w:type="paragraph" w:styleId="Header">
    <w:name w:val="header"/>
    <w:basedOn w:val="Normal"/>
    <w:link w:val="HeaderChar"/>
    <w:uiPriority w:val="99"/>
    <w:unhideWhenUsed/>
    <w:rsid w:val="00754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99D"/>
  </w:style>
  <w:style w:type="paragraph" w:styleId="Footer">
    <w:name w:val="footer"/>
    <w:basedOn w:val="Normal"/>
    <w:link w:val="FooterChar"/>
    <w:uiPriority w:val="99"/>
    <w:unhideWhenUsed/>
    <w:rsid w:val="00754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umc.org/coronavirus/sites/default/files/COVID%20Documents/Weekly%20COVID-19%20Clinical%20Guidelines%20Update%20Summar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Banerjee, Ritu</dc:creator>
  <cp:keywords/>
  <dc:description/>
  <cp:lastModifiedBy>Banerjee, Ritu</cp:lastModifiedBy>
  <cp:revision>4</cp:revision>
  <dcterms:created xsi:type="dcterms:W3CDTF">2021-08-03T13:49:00Z</dcterms:created>
  <dcterms:modified xsi:type="dcterms:W3CDTF">2021-08-03T14:54:00Z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2021-08-02T21:11:30Z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1dc5d26e-d44a-4831-9577-fc12e5961722</vt:lpwstr>
  </property>
  <property fmtid="{D5CDD505-2E9C-101B-9397-08002B2CF9AE}" pid="8" name="MSIP_Label_792c8cef-6f2b-4af1-b4ac-d815ff795cd6_ContentBits">
    <vt:lpwstr>0</vt:lpwstr>
  </property>
</Properties>
</file>